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附件1：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    </w:t>
      </w:r>
    </w:p>
    <w:p>
      <w:pPr>
        <w:widowControl/>
        <w:spacing w:line="560" w:lineRule="atLeast"/>
        <w:jc w:val="center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 </w:t>
      </w:r>
    </w:p>
    <w:p>
      <w:pPr>
        <w:widowControl/>
        <w:spacing w:line="560" w:lineRule="atLeast"/>
        <w:jc w:val="center"/>
        <w:rPr>
          <w:rFonts w:ascii="宋体" w:hAnsi="宋体" w:cs="宋体"/>
          <w:b/>
          <w:bCs/>
          <w:kern w:val="0"/>
          <w:szCs w:val="21"/>
        </w:rPr>
      </w:pPr>
    </w:p>
    <w:p>
      <w:pPr>
        <w:widowControl/>
        <w:spacing w:line="560" w:lineRule="atLeast"/>
        <w:jc w:val="center"/>
        <w:rPr>
          <w:rFonts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</w:rPr>
        <w:t>扬州市</w:t>
      </w:r>
      <w:r>
        <w:rPr>
          <w:rFonts w:hint="eastAsia" w:eastAsia="方正小标宋简体"/>
          <w:bCs/>
          <w:kern w:val="0"/>
          <w:sz w:val="44"/>
          <w:szCs w:val="44"/>
        </w:rPr>
        <w:t>“互联网+小微企业”</w:t>
      </w:r>
      <w:r>
        <w:rPr>
          <w:rFonts w:eastAsia="方正小标宋简体"/>
          <w:bCs/>
          <w:kern w:val="0"/>
          <w:sz w:val="44"/>
          <w:szCs w:val="44"/>
        </w:rPr>
        <w:t>示范</w:t>
      </w:r>
      <w:r>
        <w:rPr>
          <w:rFonts w:hint="eastAsia" w:eastAsia="方正小标宋简体"/>
          <w:bCs/>
          <w:kern w:val="0"/>
          <w:sz w:val="44"/>
          <w:szCs w:val="44"/>
        </w:rPr>
        <w:t>试点</w:t>
      </w:r>
      <w:r>
        <w:rPr>
          <w:rFonts w:eastAsia="方正小标宋简体"/>
          <w:bCs/>
          <w:kern w:val="0"/>
          <w:sz w:val="44"/>
          <w:szCs w:val="44"/>
        </w:rPr>
        <w:t>企业</w:t>
      </w:r>
    </w:p>
    <w:p>
      <w:pPr>
        <w:widowControl/>
        <w:spacing w:line="560" w:lineRule="atLeas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申请书</w:t>
      </w:r>
    </w:p>
    <w:bookmarkEnd w:id="0"/>
    <w:p>
      <w:pPr>
        <w:widowControl/>
        <w:spacing w:line="560" w:lineRule="atLeast"/>
        <w:jc w:val="left"/>
        <w:rPr>
          <w:rFonts w:eastAsia="方正小标宋简体"/>
          <w:kern w:val="0"/>
          <w:szCs w:val="21"/>
        </w:rPr>
      </w:pPr>
      <w:r>
        <w:rPr>
          <w:rFonts w:eastAsia="方正小标宋简体"/>
          <w:kern w:val="0"/>
          <w:szCs w:val="21"/>
        </w:rPr>
        <w:t> </w:t>
      </w:r>
    </w:p>
    <w:p>
      <w:pPr>
        <w:widowControl/>
        <w:spacing w:line="56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 </w:t>
      </w:r>
    </w:p>
    <w:p>
      <w:pPr>
        <w:widowControl/>
        <w:spacing w:line="560" w:lineRule="atLeast"/>
        <w:jc w:val="left"/>
        <w:rPr>
          <w:rFonts w:ascii="宋体" w:hAnsi="宋体" w:eastAsia="楷体_GB2312" w:cs="宋体"/>
          <w:b/>
          <w:bCs/>
          <w:kern w:val="0"/>
          <w:szCs w:val="21"/>
        </w:rPr>
      </w:pPr>
    </w:p>
    <w:p>
      <w:pPr>
        <w:widowControl/>
        <w:spacing w:line="560" w:lineRule="atLeast"/>
        <w:jc w:val="left"/>
        <w:rPr>
          <w:rFonts w:ascii="宋体" w:hAnsi="宋体" w:eastAsia="楷体_GB2312" w:cs="宋体"/>
          <w:b/>
          <w:bCs/>
          <w:kern w:val="0"/>
          <w:szCs w:val="21"/>
        </w:rPr>
      </w:pPr>
    </w:p>
    <w:p>
      <w:pPr>
        <w:widowControl/>
        <w:spacing w:line="560" w:lineRule="atLeast"/>
        <w:jc w:val="left"/>
        <w:rPr>
          <w:rFonts w:ascii="宋体" w:hAnsi="宋体" w:eastAsia="楷体_GB2312" w:cs="宋体"/>
          <w:b/>
          <w:bCs/>
          <w:kern w:val="0"/>
          <w:szCs w:val="21"/>
        </w:rPr>
      </w:pPr>
      <w:r>
        <w:rPr>
          <w:rFonts w:hint="eastAsia" w:ascii="宋体" w:hAnsi="宋体" w:eastAsia="楷体_GB2312" w:cs="宋体"/>
          <w:b/>
          <w:bCs/>
          <w:kern w:val="0"/>
          <w:szCs w:val="21"/>
        </w:rPr>
        <w:t> </w:t>
      </w:r>
    </w:p>
    <w:p>
      <w:pPr>
        <w:widowControl/>
        <w:spacing w:line="560" w:lineRule="atLeast"/>
        <w:jc w:val="left"/>
        <w:rPr>
          <w:rFonts w:ascii="宋体" w:hAnsi="宋体" w:eastAsia="楷体_GB2312" w:cs="宋体"/>
          <w:b/>
          <w:bCs/>
          <w:kern w:val="0"/>
          <w:szCs w:val="21"/>
        </w:rPr>
      </w:pPr>
    </w:p>
    <w:p>
      <w:pPr>
        <w:widowControl/>
        <w:spacing w:line="560" w:lineRule="atLeast"/>
        <w:jc w:val="left"/>
        <w:rPr>
          <w:rFonts w:ascii="楷体_GB2312" w:hAnsi="宋体" w:eastAsia="楷体_GB2312" w:cs="宋体"/>
          <w:kern w:val="0"/>
          <w:szCs w:val="21"/>
        </w:rPr>
      </w:pPr>
    </w:p>
    <w:p>
      <w:pPr>
        <w:widowControl/>
        <w:spacing w:line="68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申报单位：______________________（盖章）</w:t>
      </w:r>
    </w:p>
    <w:p>
      <w:pPr>
        <w:widowControl/>
        <w:spacing w:line="68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申报类别：_____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□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示范___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□</w:t>
      </w: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试点___</w:t>
      </w:r>
    </w:p>
    <w:p>
      <w:pPr>
        <w:widowControl/>
        <w:spacing w:line="68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法定代表人：________________________</w:t>
      </w:r>
    </w:p>
    <w:p>
      <w:pPr>
        <w:widowControl/>
        <w:spacing w:line="680" w:lineRule="exact"/>
        <w:ind w:firstLine="643" w:firstLineChars="200"/>
        <w:jc w:val="left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联系人及电话：______________________</w:t>
      </w:r>
    </w:p>
    <w:p>
      <w:pPr>
        <w:widowControl/>
        <w:spacing w:line="680" w:lineRule="exact"/>
        <w:ind w:firstLine="643" w:firstLineChars="200"/>
        <w:jc w:val="left"/>
        <w:rPr>
          <w:rFonts w:ascii="楷体_GB2312" w:hAnsi="宋体" w:eastAsia="楷体_GB2312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申报日期：_______________________</w:t>
      </w:r>
    </w:p>
    <w:p>
      <w:pPr>
        <w:widowControl/>
        <w:spacing w:line="680" w:lineRule="exact"/>
        <w:ind w:firstLine="643"/>
        <w:jc w:val="left"/>
        <w:rPr>
          <w:rFonts w:ascii="楷体_GB2312" w:hAnsi="宋体" w:eastAsia="楷体_GB2312" w:cs="宋体"/>
          <w:kern w:val="0"/>
          <w:szCs w:val="21"/>
        </w:rPr>
      </w:pPr>
      <w:r>
        <w:rPr>
          <w:rFonts w:hint="eastAsia" w:ascii="宋体" w:hAnsi="宋体" w:eastAsia="楷体_GB2312" w:cs="宋体"/>
          <w:b/>
          <w:bCs/>
          <w:kern w:val="0"/>
          <w:szCs w:val="21"/>
        </w:rPr>
        <w:t> </w:t>
      </w:r>
    </w:p>
    <w:p>
      <w:pPr>
        <w:widowControl/>
        <w:spacing w:line="560" w:lineRule="atLeast"/>
        <w:ind w:firstLine="643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  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          </w:t>
      </w:r>
    </w:p>
    <w:p>
      <w:pPr>
        <w:widowControl/>
        <w:spacing w:line="390" w:lineRule="atLeast"/>
        <w:jc w:val="center"/>
        <w:rPr>
          <w:rFonts w:ascii="楷体_GB2312" w:hAnsi="宋体" w:eastAsia="楷体_GB2312" w:cs="宋体"/>
          <w:kern w:val="0"/>
          <w:szCs w:val="21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扬州市双创示范工作领导小组办公室印制</w:t>
      </w:r>
    </w:p>
    <w:p>
      <w:pPr>
        <w:widowControl/>
        <w:spacing w:line="560" w:lineRule="atLeast"/>
        <w:jc w:val="center"/>
        <w:rPr>
          <w:rFonts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  <w:szCs w:val="32"/>
        </w:rPr>
        <w:t>二0一九年五月</w:t>
      </w:r>
    </w:p>
    <w:p>
      <w:pPr>
        <w:widowControl/>
        <w:numPr>
          <w:ilvl w:val="0"/>
          <w:numId w:val="1"/>
        </w:numPr>
        <w:spacing w:line="560" w:lineRule="atLeast"/>
        <w:jc w:val="left"/>
        <w:rPr>
          <w:rFonts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企业基本情况</w:t>
      </w:r>
    </w:p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68"/>
        <w:gridCol w:w="1067"/>
        <w:gridCol w:w="20"/>
        <w:gridCol w:w="122"/>
        <w:gridCol w:w="425"/>
        <w:gridCol w:w="13"/>
        <w:gridCol w:w="237"/>
        <w:gridCol w:w="283"/>
        <w:gridCol w:w="193"/>
        <w:gridCol w:w="256"/>
        <w:gridCol w:w="189"/>
        <w:gridCol w:w="1132"/>
        <w:gridCol w:w="411"/>
        <w:gridCol w:w="120"/>
        <w:gridCol w:w="32"/>
        <w:gridCol w:w="131"/>
        <w:gridCol w:w="263"/>
        <w:gridCol w:w="821"/>
        <w:gridCol w:w="225"/>
        <w:gridCol w:w="54"/>
        <w:gridCol w:w="202"/>
        <w:gridCol w:w="392"/>
        <w:gridCol w:w="148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72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企业基本情况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</w:tc>
        <w:tc>
          <w:tcPr>
            <w:tcW w:w="382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单位性质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382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注册日期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827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总资产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职工总数</w:t>
            </w:r>
          </w:p>
        </w:tc>
        <w:tc>
          <w:tcPr>
            <w:tcW w:w="2870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8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研发人员数</w:t>
            </w:r>
          </w:p>
        </w:tc>
        <w:tc>
          <w:tcPr>
            <w:tcW w:w="22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年度信息化智能化投入（万元）</w:t>
            </w:r>
          </w:p>
        </w:tc>
        <w:tc>
          <w:tcPr>
            <w:tcW w:w="1549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2017年度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2018年度</w:t>
            </w:r>
          </w:p>
        </w:tc>
        <w:tc>
          <w:tcPr>
            <w:tcW w:w="4011" w:type="dxa"/>
            <w:gridSpan w:val="12"/>
            <w:vMerge w:val="restart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主要产品：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9" w:type="dxa"/>
            <w:gridSpan w:val="8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11" w:type="dxa"/>
            <w:gridSpan w:val="12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所属行业</w:t>
            </w:r>
          </w:p>
        </w:tc>
        <w:tc>
          <w:tcPr>
            <w:tcW w:w="6881" w:type="dxa"/>
            <w:gridSpan w:val="2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□汽车 □机械装备  □软件服务业 □电子信息制造 □食品□轻工 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□石化 □冶金 □新能源 □新光源 □船舶 □纺织□工艺 □建材 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□医药 □其他行业（请注明）__________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72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主要经济指标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开票销售（万元）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同比增长（%）</w:t>
            </w:r>
          </w:p>
        </w:tc>
        <w:tc>
          <w:tcPr>
            <w:tcW w:w="169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上缴税金（万元）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同比增长（%）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2017年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6"/>
            <w:vAlign w:val="center"/>
          </w:tcPr>
          <w:p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722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2018年</w:t>
            </w:r>
          </w:p>
        </w:tc>
        <w:tc>
          <w:tcPr>
            <w:tcW w:w="1738" w:type="dxa"/>
            <w:gridSpan w:val="9"/>
            <w:vAlign w:val="center"/>
          </w:tcPr>
          <w:p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6" w:type="dxa"/>
            <w:gridSpan w:val="6"/>
            <w:vAlign w:val="center"/>
          </w:tcPr>
          <w:p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931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信息化特色</w:t>
            </w:r>
          </w:p>
        </w:tc>
        <w:tc>
          <w:tcPr>
            <w:tcW w:w="6739" w:type="dxa"/>
            <w:gridSpan w:val="2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□研发设计 □生产管控 □购销经营 □产品和服务创新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□其他（请注明）__________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654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1、基础情况</w:t>
            </w:r>
          </w:p>
        </w:tc>
        <w:tc>
          <w:tcPr>
            <w:tcW w:w="1702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负责信息化工作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机构名称</w:t>
            </w:r>
          </w:p>
        </w:tc>
        <w:tc>
          <w:tcPr>
            <w:tcW w:w="2834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信息化机构人员数量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单位互联网接入方式</w:t>
            </w:r>
          </w:p>
        </w:tc>
        <w:tc>
          <w:tcPr>
            <w:tcW w:w="5781" w:type="dxa"/>
            <w:gridSpan w:val="1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专线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ISDN、ADSL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拨号上网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无外网连接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52" w:type="dxa"/>
            <w:gridSpan w:val="7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企业网站域名地址</w:t>
            </w:r>
          </w:p>
        </w:tc>
        <w:tc>
          <w:tcPr>
            <w:tcW w:w="6064" w:type="dxa"/>
            <w:gridSpan w:val="17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企业内部网</w:t>
            </w:r>
          </w:p>
        </w:tc>
        <w:tc>
          <w:tcPr>
            <w:tcW w:w="6739" w:type="dxa"/>
            <w:gridSpan w:val="2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已建立，终端数量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未建立，已有具体实施方案；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未建立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单位拥有服务器</w:t>
            </w:r>
          </w:p>
        </w:tc>
        <w:tc>
          <w:tcPr>
            <w:tcW w:w="6861" w:type="dxa"/>
            <w:gridSpan w:val="2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云服务器，名称为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，租用空间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□自有服务器数量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台</w:t>
            </w:r>
          </w:p>
        </w:tc>
        <w:tc>
          <w:tcPr>
            <w:tcW w:w="2240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单位拥有服务器品牌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35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应用服务器操作系统</w:t>
            </w:r>
          </w:p>
        </w:tc>
        <w:tc>
          <w:tcPr>
            <w:tcW w:w="5781" w:type="dxa"/>
            <w:gridSpan w:val="1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□采用正版  □网上下载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15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数据库管理系统</w:t>
            </w:r>
          </w:p>
        </w:tc>
        <w:tc>
          <w:tcPr>
            <w:tcW w:w="6301" w:type="dxa"/>
            <w:gridSpan w:val="18"/>
            <w:vAlign w:val="center"/>
          </w:tcPr>
          <w:p>
            <w:pPr>
              <w:widowControl/>
              <w:snapToGrid w:val="0"/>
              <w:ind w:firstLine="33" w:firstLineChars="14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未建立  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已建立，名称：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数据库和软件维护人员</w:t>
            </w:r>
          </w:p>
        </w:tc>
        <w:tc>
          <w:tcPr>
            <w:tcW w:w="5588" w:type="dxa"/>
            <w:gridSpan w:val="1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□无   □</w:t>
            </w:r>
            <w:r>
              <w:rPr>
                <w:rFonts w:hint="eastAsia" w:ascii="宋体" w:hAnsi="宋体" w:cs="宋体"/>
                <w:kern w:val="0"/>
                <w:szCs w:val="21"/>
              </w:rPr>
              <w:t>有专人，姓名：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6" w:type="dxa"/>
            <w:gridSpan w:val="2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配有办公自动化系统：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自行开发；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采购（品牌：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价格：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  <w:p>
            <w:pPr>
              <w:widowControl/>
              <w:snapToGri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应用终端数量：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8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ISO20000认证证书号</w:t>
            </w:r>
          </w:p>
        </w:tc>
        <w:tc>
          <w:tcPr>
            <w:tcW w:w="2271" w:type="dxa"/>
            <w:gridSpan w:val="7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认证年月</w:t>
            </w:r>
          </w:p>
        </w:tc>
        <w:tc>
          <w:tcPr>
            <w:tcW w:w="2008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54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ISO9001认证证书号</w:t>
            </w:r>
          </w:p>
        </w:tc>
        <w:tc>
          <w:tcPr>
            <w:tcW w:w="2271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认证年月</w:t>
            </w:r>
          </w:p>
        </w:tc>
        <w:tc>
          <w:tcPr>
            <w:tcW w:w="2008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241"/>
        <w:gridCol w:w="850"/>
        <w:gridCol w:w="286"/>
        <w:gridCol w:w="56"/>
        <w:gridCol w:w="142"/>
        <w:gridCol w:w="508"/>
        <w:gridCol w:w="894"/>
        <w:gridCol w:w="999"/>
        <w:gridCol w:w="667"/>
        <w:gridCol w:w="291"/>
        <w:gridCol w:w="851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652" w:type="dxa"/>
            <w:vMerge w:val="restart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1、基础情况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信息安全系统部署情况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□杀毒软件、防火墙   □入侵检测系统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□安全隔离与信息交换系统   □安全管理平台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75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维护网络安全的防范工具</w:t>
            </w:r>
          </w:p>
        </w:tc>
        <w:tc>
          <w:tcPr>
            <w:tcW w:w="5443" w:type="dxa"/>
            <w:gridSpan w:val="7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□采用安全的操作系统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□利用防病毒软件、安装扫描工具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拥有的应用软件系统和信息化工具及覆盖范围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软件及工具名称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行政</w:t>
            </w: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人力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部署时间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2、研发设计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研发设计所用软件名称</w:t>
            </w:r>
          </w:p>
        </w:tc>
        <w:tc>
          <w:tcPr>
            <w:tcW w:w="3266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应用人数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研发设计所用软件联网：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互联网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企业网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应用软件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研发设计数据及成果存储方式：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光盘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云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图纸及文档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文件服务器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研发设计：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用户参与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相关机构参与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参与方式：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通过计算机网络参与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传真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书页稿参与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计算机辅助设计（CAD）：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交互式图形显示软件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CAD应用软件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数据管理软件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CAD基础技术（设计数据库）：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计算机辅助制造（CAM）：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CAM基本类型：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检索式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派生式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创成式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CAM技术：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成组技术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零件信息的描述与获取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工艺设计决策机制</w:t>
            </w:r>
          </w:p>
          <w:p>
            <w:pPr>
              <w:widowControl/>
              <w:snapToGrid w:val="0"/>
              <w:ind w:firstLine="100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工艺知识的获取及表示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工序图及其它文档的自动生成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工艺数据库的建立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计算机辅助工艺计划系统（CAPP）：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计算机数控：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计算机辅助过程工艺控制流程：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有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数字化产品模型/样机构建：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□产品设计中采用二维产品模型  □产品设计中采用三维产品模型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□产品设计中采用采用数字化预装配与装配检查  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□产品设计形成基于三维CAD的PDM结构体系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产品工艺规划及工装设计：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□信息化工艺流程规划     □工艺文件自动生成      □ 材料定额制定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□工时定额制定         □信息化工装设计</w:t>
            </w: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979"/>
        <w:gridCol w:w="427"/>
        <w:gridCol w:w="2694"/>
        <w:gridCol w:w="216"/>
        <w:gridCol w:w="133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3、生产管控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应用软件系统名称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应用人数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生产线过程管理</w:t>
            </w:r>
          </w:p>
        </w:tc>
        <w:tc>
          <w:tcPr>
            <w:tcW w:w="6039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□用企业内部网   □传统方式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生产线所用传感器型号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所用数量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生产过程控制系统名称</w:t>
            </w:r>
          </w:p>
        </w:tc>
        <w:tc>
          <w:tcPr>
            <w:tcW w:w="2694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控制对象名称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信息化生产计划与调度的覆盖范围：□综合生产计划    □主生产计划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□物料需求计划    □能力计划   □车间作业计划     □采购计划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生产作业计划与车间调度的业务的使用情况：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□手工制定编制生产作业计划     □自动编制生产作业计划，实现车间静态调度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□自动编制生产作业计划，建立起数字化、动态化生产进度反馈和调度系统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物料需求与计划（MRP）应用情况：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 没有采用MRP系统管理        □关键物料采用MRP系统管理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□全部物料采用MRP系统管理，实现覆盖在制品库存和生产过程的物流信息动态跟踪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物料配送管理的业务覆盖范围：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□物料与备品备件库存控制     □物料入库控制    □仓储物流优化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□物料入库控制   □电子标签、自动分拣与输送系统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外协计划和外协过程管理覆盖范围：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□外协单位信息管理          □外协订单管理   □外协送料管理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□外协收料管理  □外协对账管理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企业信息化生产监控能力：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□实现车间监控       □实现生产线监控   □实现设备监控  □实现工序监控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拥有的客户关系管理CRM系统功能模块：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□客户信息管理   □客户信息分析    □客户信息评估   □客户满意度跟踪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□潜在客户挖掘       □客户自助服务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会计账务与资金信息化管理的业务覆盖范围：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□总账    □固定资产  □应收应付  □资金管理   □项目会计 □存货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exac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财务报表和财务分析信息化情况：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□自动生成财务报表    □自动进行财务报表报送   □自动合并报表  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□自动生成资金运作分析报告   □自动生成财务政策分析报告   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□自动生成经营管理分析报告    □自动生成投融资管理分析报告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□自动生成财务分析报告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成本信息化管理的精细化程度和水平：□自动生成成本预测报告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□自动生成成本决策报告   □自动生成成本计划  □自动生成成本核算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□自动生成成本控制      □自动生成成本分析报告   □自动生成成本考核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65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18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质量管理信息系统覆盖范围和内容：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□覆盖产品设计过程         □覆盖原材料入场过程      □覆盖生产制造过程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□覆盖产成品过程           □支撑质量管理体系建立和运行</w:t>
            </w:r>
          </w:p>
        </w:tc>
      </w:tr>
    </w:tbl>
    <w:p/>
    <w:p/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18"/>
        <w:gridCol w:w="564"/>
        <w:gridCol w:w="144"/>
        <w:gridCol w:w="709"/>
        <w:gridCol w:w="425"/>
        <w:gridCol w:w="1147"/>
        <w:gridCol w:w="271"/>
        <w:gridCol w:w="866"/>
        <w:gridCol w:w="866"/>
        <w:gridCol w:w="961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65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4、网络营销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电子商务平台</w:t>
            </w:r>
          </w:p>
        </w:tc>
        <w:tc>
          <w:tcPr>
            <w:tcW w:w="643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□无； □自建电商平台，经费投入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元；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□租用第三方电商平台，平台名称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：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租期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网络营销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（企业经营实现B2B和B2C）</w:t>
            </w:r>
          </w:p>
        </w:tc>
        <w:tc>
          <w:tcPr>
            <w:tcW w:w="5160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□无 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□有，近2年实现销售额总量：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建立企业电子商务应用系统：□CRM客户关系系统方案  □SCM供应链管理方案 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第三方服务商进驻公司进行管理诊断：□有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整合用户和供应商的资源：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把采购计划提前给上游供应商：□有   □无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供应商在订单或交货计划上的网上协同互动：□有   □无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在正确的时间、向正确的地点提交合格的产品：□能提供证明   □不能提供证明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配套服务商管理有配套的网络平台服务：□有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订单系统一套完善的系统：□无   □有，名称为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目前企业已实现：□实现个性化定制   □以销定产  □生产后产品交代理商销售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65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5、产品和服务创新</w:t>
            </w:r>
          </w:p>
        </w:tc>
        <w:tc>
          <w:tcPr>
            <w:tcW w:w="172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物联网产品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年产量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销售额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人工智能产品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年产量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销售额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6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多媒体技术产品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年产量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销售额</w:t>
            </w:r>
          </w:p>
        </w:tc>
        <w:tc>
          <w:tcPr>
            <w:tcW w:w="1049" w:type="dxa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产品通过互联网远程维护</w:t>
            </w:r>
          </w:p>
        </w:tc>
        <w:tc>
          <w:tcPr>
            <w:tcW w:w="6438" w:type="dxa"/>
            <w:gridSpan w:val="9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□维护全部产品功能；   □维护功能点5个以上；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□维护功能点2个以上； □维护功能点1个以上；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产品通过互联网故障预警：□预警（提供产品资料证明）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产品通过互联网进行远程优化设置：□可以优化设置（提供产品资料证明）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其它服务模式</w:t>
            </w:r>
          </w:p>
        </w:tc>
        <w:tc>
          <w:tcPr>
            <w:tcW w:w="2989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200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服务对象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此模式服务年收入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89" w:type="dxa"/>
            <w:gridSpan w:val="5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3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50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6、信息化投入的社会及经济效益</w:t>
            </w: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年库存平均占用资金与全部流动资金的比例同比降低：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□＞20%  □10-20%  □＜10%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企业流动资金每年的周转次数同比提高：□＞20%  □10-20%  □＜10%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销售业绩情况：销售收入增长率：□＞10%  □5-10%  □＜5%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企业利税情况：企业利税增长同比 □增  □降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产品研发：产品研发设计周期</w:t>
            </w: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□较上年缩短   □未缩短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劳动生产率：车间工位人数减少</w:t>
            </w:r>
            <w:r>
              <w:rPr>
                <w:rFonts w:hint="eastAsia" w:ascii="宋体" w:hAnsi="宋体" w:cs="宋体"/>
                <w:kern w:val="0"/>
                <w:szCs w:val="21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</w:rPr>
              <w:t>□＞10%  □5-10%  □＜5%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节能、减排效果： 排放（废水、废渣、废气等排放量以环保部门认定为准）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□同比下降   □同比上升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单位产值能耗：（水、煤、电、油等以节能主管部门认定为依据）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□同比下降   □同比上升</w:t>
            </w:r>
          </w:p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原材料消耗（按产品单耗）：□同比下降   □同比上升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65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0" w:type="dxa"/>
            <w:gridSpan w:val="11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安全生产：年度重大安全生产事故（以应急管理部门认定为准）□无  □有</w:t>
            </w:r>
          </w:p>
        </w:tc>
      </w:tr>
    </w:tbl>
    <w:p/>
    <w:tbl>
      <w:tblPr>
        <w:tblStyle w:val="3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7" w:hRule="exac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“互联网+小微企业”的亮点工作简介</w:t>
            </w:r>
          </w:p>
        </w:tc>
        <w:tc>
          <w:tcPr>
            <w:tcW w:w="7711" w:type="dxa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（重点针对示范（试点）的环节进行阐述，如投入力度、使用哪些关键软件、产生效益等）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exact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真实性承诺</w:t>
            </w:r>
          </w:p>
        </w:tc>
        <w:tc>
          <w:tcPr>
            <w:tcW w:w="7711" w:type="dxa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我单位申报的所有材料,均真实、完整，如有不实，愿承担相应的责任。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3859" w:firstLineChars="160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企业法人代表签章：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4708" w:firstLineChars="1962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单位公章：</w:t>
            </w:r>
          </w:p>
          <w:p>
            <w:pPr>
              <w:ind w:firstLine="4852" w:firstLineChars="2022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县（市、区）工信局意见</w:t>
            </w:r>
          </w:p>
        </w:tc>
        <w:tc>
          <w:tcPr>
            <w:tcW w:w="7711" w:type="dxa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3456" w:firstLineChars="14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单位（盖章）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3739" w:firstLineChars="1558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县（市、区）</w:t>
            </w:r>
          </w:p>
          <w:p>
            <w:pPr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财政局意见</w:t>
            </w:r>
          </w:p>
        </w:tc>
        <w:tc>
          <w:tcPr>
            <w:tcW w:w="7711" w:type="dxa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单位（盖章） 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widowControl/>
        <w:spacing w:line="390" w:lineRule="atLeast"/>
        <w:rPr>
          <w:rFonts w:ascii="仿宋_GB2312" w:hAnsi="Verdana" w:eastAsia="仿宋_GB2312"/>
          <w:color w:val="000000"/>
          <w:sz w:val="24"/>
        </w:rPr>
      </w:pPr>
      <w:r>
        <w:rPr>
          <w:rFonts w:hint="eastAsia" w:ascii="宋体" w:hAnsi="宋体" w:cs="宋体"/>
          <w:kern w:val="0"/>
          <w:szCs w:val="21"/>
        </w:rPr>
        <w:t> </w:t>
      </w:r>
      <w:r>
        <w:rPr>
          <w:rFonts w:hint="eastAsia" w:ascii="黑体" w:hAnsi="黑体" w:eastAsia="黑体" w:cs="仿宋"/>
          <w:b/>
          <w:bCs/>
          <w:sz w:val="30"/>
          <w:szCs w:val="30"/>
        </w:rPr>
        <w:t>二、企业“互联网+”情况总结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 xml:space="preserve">（一）企业基本情况。1、企业组织结构、资本性质、信用情况、财务情况、经营情况等；2、在相关行业或区域的地位和作用，已具备的技术优势；3、近年来企业技术创新、生产经营方面的主要成绩和突出亮点。 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（二）企业研发设计情况。1、主要产品研发设计与生产实施情况；2、企业研发机构、研发团队、项目主要负责人或CIO情况(学历背景、职称、主要业绩和荣誉)；3、现阶段各类研发设计软件投入及应用情况。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（三）企业生产管控情况。1、生产管理和控制软件系统投入及实际应用情况；2、应用智能化设备实现安全生产监管取得的社会、经济、环境效益等。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（四）购销经营情况。1、建立电商平台或应用第三方平台开展购销情况；2、优化供应链，在库存管理方面的成效；3、应用物流平台降低成本的举措。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（五）产品和服务创新情况。1、新产品智能化开发过程中使用的软件系统投入及效益情况；2、在服务模式上的创新情况；3、基于互联网开展的在线增值服务情况。</w:t>
      </w:r>
    </w:p>
    <w:p>
      <w:pPr>
        <w:spacing w:line="58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</w:rPr>
      </w:pPr>
      <w:r>
        <w:rPr>
          <w:rFonts w:hint="eastAsia" w:ascii="仿宋_GB2312" w:hAnsi="Verdana" w:eastAsia="仿宋_GB2312"/>
          <w:color w:val="000000"/>
          <w:sz w:val="32"/>
          <w:szCs w:val="32"/>
        </w:rPr>
        <w:t>（六）其他有特色的互联网应用情况。</w:t>
      </w:r>
    </w:p>
    <w:p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24"/>
        <w:szCs w:val="24"/>
      </w:rPr>
    </w:pPr>
    <w:r>
      <w:rPr>
        <w:rStyle w:val="5"/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rStyle w:val="5"/>
        <w:sz w:val="24"/>
        <w:szCs w:val="24"/>
      </w:rPr>
      <w:fldChar w:fldCharType="separate"/>
    </w:r>
    <w:r>
      <w:rPr>
        <w:rStyle w:val="5"/>
        <w:sz w:val="24"/>
        <w:szCs w:val="24"/>
      </w:rPr>
      <w:t>17</w:t>
    </w:r>
    <w:r>
      <w:rPr>
        <w:rStyle w:val="5"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66FE"/>
    <w:multiLevelType w:val="singleLevel"/>
    <w:tmpl w:val="59AE66F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A1FBC"/>
    <w:rsid w:val="321A1FBC"/>
    <w:rsid w:val="7345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2019-05-14T03:15:00Z</dcterms:created>
  <dc:creator>xToNG.</dc:creator>
  <cp:lastModifiedBy>xToNG.</cp:lastModifiedBy>
  <dcterms:modified xsi:type="dcterms:W3CDTF">2019-05-14T03:27:24Z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