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" w:line="248" w:lineRule="auto"/>
        <w:ind w:right="4"/>
        <w:jc w:val="left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附件1：</w:t>
      </w:r>
    </w:p>
    <w:tbl>
      <w:tblPr>
        <w:tblStyle w:val="4"/>
        <w:tblpPr w:leftFromText="180" w:rightFromText="180" w:vertAnchor="text" w:horzAnchor="page" w:tblpX="1181" w:tblpY="684"/>
        <w:tblOverlap w:val="never"/>
        <w:tblW w:w="9668" w:type="dxa"/>
        <w:tblInd w:w="0" w:type="dxa"/>
        <w:tblLayout w:type="autofit"/>
        <w:tblCellMar>
          <w:top w:w="11" w:type="dxa"/>
          <w:left w:w="2" w:type="dxa"/>
          <w:bottom w:w="0" w:type="dxa"/>
          <w:right w:w="0" w:type="dxa"/>
        </w:tblCellMar>
      </w:tblPr>
      <w:tblGrid>
        <w:gridCol w:w="821"/>
        <w:gridCol w:w="2192"/>
        <w:gridCol w:w="4997"/>
        <w:gridCol w:w="1658"/>
      </w:tblGrid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66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324"/>
              <w:jc w:val="center"/>
            </w:pPr>
            <w:r>
              <w:rPr>
                <w:rFonts w:hint="eastAsia"/>
                <w:sz w:val="30"/>
              </w:rPr>
              <w:t>量子大学</w:t>
            </w:r>
            <w:r>
              <w:rPr>
                <w:rFonts w:hint="eastAsia"/>
                <w:sz w:val="30"/>
                <w:lang w:eastAsia="zh-CN"/>
              </w:rPr>
              <w:t>“</w:t>
            </w:r>
            <w:r>
              <w:rPr>
                <w:sz w:val="30"/>
              </w:rPr>
              <w:t>量见</w:t>
            </w:r>
            <w:r>
              <w:rPr>
                <w:rFonts w:hint="eastAsia"/>
                <w:sz w:val="30"/>
              </w:rPr>
              <w:t>云</w:t>
            </w:r>
            <w:r>
              <w:rPr>
                <w:rFonts w:hint="eastAsia"/>
                <w:sz w:val="30"/>
                <w:lang w:eastAsia="zh-CN"/>
              </w:rPr>
              <w:t>”</w:t>
            </w:r>
            <w:bookmarkStart w:id="0" w:name="_GoBack"/>
            <w:r>
              <w:rPr>
                <w:rFonts w:hint="eastAsia"/>
                <w:sz w:val="30"/>
              </w:rPr>
              <w:t>数字平台</w:t>
            </w:r>
            <w:r>
              <w:rPr>
                <w:sz w:val="30"/>
              </w:rPr>
              <w:t>核心技能提升系列专题培训计划</w:t>
            </w:r>
            <w:bookmarkEnd w:id="0"/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9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2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22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板块</w:t>
            </w: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课程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20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课程时长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企业高管综合能力提升计划</w:t>
            </w: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管理者终生受用，阿里管理三板斧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4：25：23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人人成为经营者 中国式阿米巴实施指南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4：50：03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赋能增长：如何利用新的商业思维实现指数级增长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1：59：08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让企业业绩倍增的7种营销武器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2：27：31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组织类大客户销售与关系管理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4：42：23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老板的法律风险防范课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3：27：41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老板必备的税务管理知识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2：05：33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企业中层管理技能提升计划</w:t>
            </w: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新晋经理的管理必修课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4：12：03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管理的要义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03：03：15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H R高效招聘面试技巧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1：15：36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管理心理学：如何挖掘人性深处的源动力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3：47：43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正面领导打造团队凝聚力</w:t>
            </w:r>
          </w:p>
        </w:tc>
        <w:tc>
          <w:tcPr>
            <w:tcW w:w="165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1：45：34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13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引爆OKR：顶级公司都在用的目标管理利器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2：40：12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目标设定与运营执行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4：56：15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21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员工通用能力提升训练计划</w:t>
            </w: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自我管理的十八般兵器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4：27：44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自我效能．职场快乐竞争力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1：45：38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超效沟通'职场高效沟通技巧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2：00：17</w:t>
            </w:r>
          </w:p>
        </w:tc>
      </w:tr>
      <w:tr>
        <w:tblPrEx>
          <w:tblCellMar>
            <w:top w:w="11" w:type="dxa"/>
            <w:left w:w="2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18</w:t>
            </w:r>
          </w:p>
        </w:tc>
        <w:tc>
          <w:tcPr>
            <w:tcW w:w="219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丝淇美学：职场的形象管理</w:t>
            </w:r>
          </w:p>
        </w:tc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2：07：14</w:t>
            </w:r>
          </w:p>
        </w:tc>
      </w:tr>
    </w:tbl>
    <w:p>
      <w:pPr>
        <w:ind w:left="7"/>
        <w:jc w:val="center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4"/>
        <w:tblpPr w:leftFromText="180" w:rightFromText="180" w:vertAnchor="text" w:horzAnchor="page" w:tblpX="1151" w:tblpY="344"/>
        <w:tblOverlap w:val="never"/>
        <w:tblW w:w="967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58"/>
        <w:gridCol w:w="1269"/>
        <w:gridCol w:w="3767"/>
        <w:gridCol w:w="1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</w:t>
            </w:r>
          </w:p>
        </w:tc>
        <w:tc>
          <w:tcPr>
            <w:tcW w:w="21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金字塔原理：结构化思维的应用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1：41：19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如何设计一份结构感强的PPT？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1：12：55</w:t>
            </w:r>
          </w:p>
        </w:tc>
      </w:tr>
      <w:tr>
        <w:trPr>
          <w:trHeight w:val="64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2 1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提升效能的时间探宝图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o：41：46</w:t>
            </w:r>
          </w:p>
        </w:tc>
      </w:tr>
      <w:tr>
        <w:trPr>
          <w:trHeight w:val="649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如何提高会议效能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1：04：25</w:t>
            </w:r>
          </w:p>
        </w:tc>
      </w:tr>
      <w:tr>
        <w:trPr>
          <w:trHeight w:val="647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23</w:t>
            </w:r>
          </w:p>
        </w:tc>
        <w:tc>
          <w:tcPr>
            <w:tcW w:w="21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互联网运营技巧提升训练计划</w:t>
            </w: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数字化时代传统企业转型路径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5：07：57</w:t>
            </w:r>
          </w:p>
        </w:tc>
      </w:tr>
      <w:tr>
        <w:trPr>
          <w:trHeight w:val="649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品牌与电商直播销售与互动技巧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4：09：42</w:t>
            </w:r>
          </w:p>
        </w:tc>
      </w:tr>
      <w:tr>
        <w:trPr>
          <w:trHeight w:val="64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利用社群营销及裂变让企业销量倍增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4：15：50</w:t>
            </w:r>
          </w:p>
        </w:tc>
      </w:tr>
      <w:tr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企业品牌自媒体运营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2：49：57</w:t>
            </w:r>
          </w:p>
        </w:tc>
      </w:tr>
      <w:tr>
        <w:trPr>
          <w:trHeight w:val="647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牛肉哥操盘手，从零打造网红品牌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4：50：00</w:t>
            </w:r>
          </w:p>
        </w:tc>
      </w:tr>
      <w:tr>
        <w:trPr>
          <w:trHeight w:val="64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淘宝店铺运营规划全攻略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1：06：42</w:t>
            </w:r>
          </w:p>
        </w:tc>
      </w:tr>
      <w:tr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微信爆单成交术，帮你每月多赚1万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3：59：20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</w:t>
            </w:r>
          </w:p>
        </w:tc>
        <w:tc>
          <w:tcPr>
            <w:tcW w:w="21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精益生产管理训练计划</w:t>
            </w: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精益生产制造管理基础</w:t>
            </w:r>
          </w:p>
        </w:tc>
        <w:tc>
          <w:tcPr>
            <w:tcW w:w="166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3：16：35</w:t>
            </w:r>
          </w:p>
        </w:tc>
      </w:tr>
      <w:tr>
        <w:trPr>
          <w:trHeight w:val="641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砍下质量之斧</w:t>
            </w:r>
          </w:p>
        </w:tc>
        <w:tc>
          <w:tcPr>
            <w:tcW w:w="37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质量损失成本降低60％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2：19：33</w:t>
            </w:r>
          </w:p>
        </w:tc>
      </w:tr>
      <w:tr>
        <w:trPr>
          <w:trHeight w:val="65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舞动成本之刀</w:t>
            </w:r>
          </w:p>
        </w:tc>
        <w:tc>
          <w:tcPr>
            <w:tcW w:w="37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生产成本降低20％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1：32：36</w:t>
            </w:r>
          </w:p>
        </w:tc>
      </w:tr>
      <w:tr>
        <w:trPr>
          <w:trHeight w:val="64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举起6 S之盾．现场管理全面数据化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2：15：41</w:t>
            </w:r>
          </w:p>
        </w:tc>
      </w:tr>
      <w:tr>
        <w:trPr>
          <w:trHeight w:val="647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抡起库存之戟 库存资金占用减少50％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1：14：15</w:t>
            </w:r>
          </w:p>
        </w:tc>
      </w:tr>
      <w:tr>
        <w:trPr>
          <w:trHeight w:val="648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3 5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挥动效率之剑，生产效率翻番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3：02：20</w:t>
            </w:r>
          </w:p>
        </w:tc>
      </w:tr>
      <w:tr>
        <w:trPr>
          <w:trHeight w:val="650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射出交期之箭：订单交期准时率100％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o：55：43</w:t>
            </w:r>
          </w:p>
        </w:tc>
      </w:tr>
      <w:tr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握紧标准化之棍：标准化覆盖率100％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o：52：44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砸下团队之锤，锤炼精兵强将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1：39：03</w:t>
            </w:r>
          </w:p>
        </w:tc>
      </w:tr>
      <w:tr>
        <w:trPr>
          <w:trHeight w:val="65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39</w:t>
            </w:r>
          </w:p>
        </w:tc>
        <w:tc>
          <w:tcPr>
            <w:tcW w:w="2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人力资源管理技能提升</w:t>
            </w:r>
          </w:p>
        </w:tc>
        <w:tc>
          <w:tcPr>
            <w:tcW w:w="50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前华为人力副总裁：以人致胜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3：39：19</w:t>
            </w:r>
          </w:p>
        </w:tc>
      </w:tr>
    </w:tbl>
    <w:p>
      <w:pPr>
        <w:ind w:left="7"/>
        <w:jc w:val="center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4"/>
        <w:tblpPr w:leftFromText="180" w:rightFromText="180" w:vertAnchor="text" w:horzAnchor="page" w:tblpX="1151" w:tblpY="316"/>
        <w:tblOverlap w:val="never"/>
        <w:tblW w:w="9670" w:type="dxa"/>
        <w:tblInd w:w="0" w:type="dxa"/>
        <w:tblLayout w:type="autofit"/>
        <w:tblCellMar>
          <w:top w:w="175" w:type="dxa"/>
          <w:left w:w="0" w:type="dxa"/>
          <w:bottom w:w="0" w:type="dxa"/>
          <w:right w:w="128" w:type="dxa"/>
        </w:tblCellMar>
      </w:tblPr>
      <w:tblGrid>
        <w:gridCol w:w="816"/>
        <w:gridCol w:w="2155"/>
        <w:gridCol w:w="5033"/>
        <w:gridCol w:w="1666"/>
      </w:tblGrid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9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40</w:t>
            </w:r>
          </w:p>
        </w:tc>
        <w:tc>
          <w:tcPr>
            <w:tcW w:w="21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专题培训班</w:t>
            </w: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打造组织活力，提升组织效率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2：38：53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阿里政委体系运作与实践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4：10：34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1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向世界500强学绩效管理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2：49：36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7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目标管理与绩效考核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1：54：03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富士康的人力资源管理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2：27：52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5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招聘面试工具运用技巧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1：09：29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如何快速搭建在线学习运营体系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o：43：27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8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47</w:t>
            </w:r>
          </w:p>
        </w:tc>
        <w:tc>
          <w:tcPr>
            <w:tcW w:w="21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销售技能提升专题班</w:t>
            </w: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让话好听：好的表达一字干金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5：41：42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销售入门必备．销售系统班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4：19：19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决胜谈判桌：谈判前的准备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2：44：54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攻心夺单：九型人格销售应用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4：10：05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5 1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大客户公关：布局与破局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2：46：07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6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创业商机的探求方法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5：20：20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经销商管理秘笈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3：23：52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7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打造销售铁军的捷径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2：24：36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8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55</w:t>
            </w:r>
          </w:p>
        </w:tc>
        <w:tc>
          <w:tcPr>
            <w:tcW w:w="21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企业必修推荐课</w:t>
            </w: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华为客户关系管理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6：32：52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9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阿里巴巴创业干货19讲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4：54：07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50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阿里销售铁军打造秘籍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3：49：37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5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互联网时代下的创新管理与创新思维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2：04：48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9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项目管理的目标计划与过程控制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2：32：52</w:t>
            </w:r>
          </w:p>
        </w:tc>
      </w:tr>
      <w:tr>
        <w:tblPrEx>
          <w:tblCellMar>
            <w:top w:w="175" w:type="dxa"/>
            <w:left w:w="0" w:type="dxa"/>
            <w:bottom w:w="0" w:type="dxa"/>
            <w:right w:w="128" w:type="dxa"/>
          </w:tblCellMar>
        </w:tblPrEx>
        <w:trPr>
          <w:trHeight w:val="647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从专业到管理管理思维与管理能力的双重跃迁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3：44：48</w:t>
            </w:r>
          </w:p>
        </w:tc>
      </w:tr>
    </w:tbl>
    <w:tbl>
      <w:tblPr>
        <w:tblStyle w:val="4"/>
        <w:tblpPr w:leftFromText="180" w:rightFromText="180" w:vertAnchor="text" w:horzAnchor="page" w:tblpX="1148" w:tblpY="1042"/>
        <w:tblOverlap w:val="never"/>
        <w:tblW w:w="9653" w:type="dxa"/>
        <w:tblInd w:w="0" w:type="dxa"/>
        <w:tblLayout w:type="autofit"/>
        <w:tblCellMar>
          <w:top w:w="0" w:type="dxa"/>
          <w:left w:w="14" w:type="dxa"/>
          <w:bottom w:w="0" w:type="dxa"/>
          <w:right w:w="115" w:type="dxa"/>
        </w:tblCellMar>
      </w:tblPr>
      <w:tblGrid>
        <w:gridCol w:w="816"/>
        <w:gridCol w:w="2155"/>
        <w:gridCol w:w="5019"/>
        <w:gridCol w:w="1663"/>
      </w:tblGrid>
      <w:tr>
        <w:tblPrEx>
          <w:tblCellMar>
            <w:top w:w="0" w:type="dxa"/>
            <w:left w:w="14" w:type="dxa"/>
            <w:bottom w:w="0" w:type="dxa"/>
            <w:right w:w="115" w:type="dxa"/>
          </w:tblCellMar>
        </w:tblPrEx>
        <w:trPr>
          <w:trHeight w:val="64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</w:t>
            </w:r>
          </w:p>
        </w:tc>
        <w:tc>
          <w:tcPr>
            <w:tcW w:w="21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前亚马逊副总裁：用户体验与企业增长双飞轮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4：37：14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15" w:type="dxa"/>
          </w:tblCellMar>
        </w:tblPrEx>
        <w:trPr>
          <w:trHeight w:val="648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</w:t>
            </w:r>
          </w:p>
        </w:tc>
        <w:tc>
          <w:tcPr>
            <w:tcW w:w="215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零成本做增长：私域流量18讲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4：45：40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15" w:type="dxa"/>
          </w:tblCellMar>
        </w:tblPrEx>
        <w:trPr>
          <w:trHeight w:val="643" w:hRule="atLeast"/>
        </w:trPr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</w:t>
            </w:r>
          </w:p>
        </w:tc>
        <w:tc>
          <w:tcPr>
            <w:tcW w:w="215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欠债、逃债和讨债谈谈融资的法律风险</w:t>
            </w:r>
          </w:p>
        </w:tc>
        <w:tc>
          <w:tcPr>
            <w:tcW w:w="1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2：00：19</w:t>
            </w:r>
          </w:p>
        </w:tc>
      </w:tr>
    </w:tbl>
    <w:p>
      <w:pPr>
        <w:ind w:left="-1503" w:right="10489"/>
      </w:pPr>
    </w:p>
    <w:p>
      <w:pPr>
        <w:spacing w:after="176" w:line="259" w:lineRule="auto"/>
        <w:ind w:left="10" w:right="96" w:hanging="1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6CD4"/>
    <w:rsid w:val="3F3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2021-02-24T06:40:00Z</dcterms:created>
  <dc:creator>xToNG.</dc:creator>
  <cp:lastModifiedBy>xToNG.</cp:lastModifiedBy>
  <dcterms:modified xsi:type="dcterms:W3CDTF">2021-02-24T06:44:30Z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